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06A" w:rsidRPr="007F200C" w:rsidRDefault="00A8406A" w:rsidP="00A25AE9">
      <w:pPr>
        <w:shd w:val="clear" w:color="auto" w:fill="FFFFFF"/>
        <w:spacing w:before="300" w:after="150" w:line="240" w:lineRule="auto"/>
        <w:outlineLvl w:val="2"/>
        <w:rPr>
          <w:rFonts w:ascii="inherit" w:eastAsia="Times New Roman" w:hAnsi="inherit" w:cs="Helvetica"/>
          <w:color w:val="000000" w:themeColor="text1"/>
          <w:sz w:val="36"/>
          <w:szCs w:val="36"/>
          <w:lang w:eastAsia="it-IT"/>
        </w:rPr>
      </w:pPr>
      <w:r w:rsidRPr="007F200C">
        <w:rPr>
          <w:rFonts w:ascii="inherit" w:eastAsia="Times New Roman" w:hAnsi="inherit" w:cs="Helvetica"/>
          <w:color w:val="000000" w:themeColor="text1"/>
          <w:sz w:val="36"/>
          <w:szCs w:val="36"/>
          <w:lang w:eastAsia="it-IT"/>
        </w:rPr>
        <w:t>COMUNE DI FAGNANO OLONA</w:t>
      </w:r>
    </w:p>
    <w:p w:rsidR="00A25AE9" w:rsidRPr="007F200C" w:rsidRDefault="00A25AE9" w:rsidP="00A25AE9">
      <w:pPr>
        <w:shd w:val="clear" w:color="auto" w:fill="FFFFFF"/>
        <w:spacing w:before="300" w:after="150" w:line="240" w:lineRule="auto"/>
        <w:outlineLvl w:val="2"/>
        <w:rPr>
          <w:rFonts w:ascii="inherit" w:eastAsia="Times New Roman" w:hAnsi="inherit" w:cs="Helvetica"/>
          <w:color w:val="000000" w:themeColor="text1"/>
          <w:sz w:val="36"/>
          <w:szCs w:val="36"/>
          <w:lang w:eastAsia="it-IT"/>
        </w:rPr>
      </w:pPr>
      <w:r w:rsidRPr="007F200C">
        <w:rPr>
          <w:rFonts w:ascii="inherit" w:eastAsia="Times New Roman" w:hAnsi="inherit" w:cs="Helvetica"/>
          <w:color w:val="000000" w:themeColor="text1"/>
          <w:sz w:val="36"/>
          <w:szCs w:val="36"/>
          <w:lang w:eastAsia="it-IT"/>
        </w:rPr>
        <w:t>Accesso civico</w:t>
      </w:r>
      <w:r w:rsidR="00A8406A" w:rsidRPr="007F200C">
        <w:rPr>
          <w:rFonts w:ascii="inherit" w:eastAsia="Times New Roman" w:hAnsi="inherit" w:cs="Helvetica"/>
          <w:color w:val="000000" w:themeColor="text1"/>
          <w:sz w:val="36"/>
          <w:szCs w:val="36"/>
          <w:lang w:eastAsia="it-IT"/>
        </w:rPr>
        <w:t xml:space="preserve"> (semplice e generalizzato)</w:t>
      </w:r>
    </w:p>
    <w:p w:rsidR="00A25AE9" w:rsidRPr="007F200C" w:rsidRDefault="008D55EA" w:rsidP="00A25AE9">
      <w:pPr>
        <w:shd w:val="clear" w:color="auto" w:fill="FFFFFF"/>
        <w:spacing w:after="150" w:line="240" w:lineRule="auto"/>
        <w:rPr>
          <w:rFonts w:ascii="Helvetica" w:eastAsia="Times New Roman" w:hAnsi="Helvetica" w:cs="Helvetica"/>
          <w:color w:val="000000" w:themeColor="text1"/>
          <w:sz w:val="21"/>
          <w:szCs w:val="21"/>
          <w:lang w:eastAsia="it-IT"/>
        </w:rPr>
      </w:pPr>
      <w:hyperlink r:id="rId5" w:history="1">
        <w:r w:rsidR="00A25AE9" w:rsidRPr="007F200C">
          <w:rPr>
            <w:rFonts w:ascii="Helvetica" w:eastAsia="Times New Roman" w:hAnsi="Helvetica" w:cs="Helvetica"/>
            <w:color w:val="000000" w:themeColor="text1"/>
            <w:sz w:val="21"/>
            <w:szCs w:val="21"/>
            <w:u w:val="single"/>
            <w:lang w:eastAsia="it-IT"/>
          </w:rPr>
          <w:t>Amministrazione trasparente</w:t>
        </w:r>
      </w:hyperlink>
      <w:r w:rsidR="00A25AE9" w:rsidRPr="007F200C">
        <w:rPr>
          <w:rFonts w:ascii="Helvetica" w:eastAsia="Times New Roman" w:hAnsi="Helvetica" w:cs="Helvetica"/>
          <w:color w:val="000000" w:themeColor="text1"/>
          <w:sz w:val="21"/>
          <w:szCs w:val="21"/>
          <w:lang w:eastAsia="it-IT"/>
        </w:rPr>
        <w:t>  / </w:t>
      </w:r>
      <w:hyperlink r:id="rId6" w:history="1">
        <w:r w:rsidR="00A25AE9" w:rsidRPr="007F200C">
          <w:rPr>
            <w:rFonts w:ascii="Helvetica" w:eastAsia="Times New Roman" w:hAnsi="Helvetica" w:cs="Helvetica"/>
            <w:color w:val="000000" w:themeColor="text1"/>
            <w:sz w:val="21"/>
            <w:szCs w:val="21"/>
            <w:u w:val="single"/>
            <w:lang w:eastAsia="it-IT"/>
          </w:rPr>
          <w:t>Altri contenuti</w:t>
        </w:r>
      </w:hyperlink>
      <w:r w:rsidR="00A25AE9" w:rsidRPr="007F200C">
        <w:rPr>
          <w:rFonts w:ascii="Helvetica" w:eastAsia="Times New Roman" w:hAnsi="Helvetica" w:cs="Helvetica"/>
          <w:color w:val="000000" w:themeColor="text1"/>
          <w:sz w:val="21"/>
          <w:szCs w:val="21"/>
          <w:lang w:eastAsia="it-IT"/>
        </w:rPr>
        <w:t> / </w:t>
      </w:r>
      <w:hyperlink r:id="rId7" w:history="1">
        <w:r w:rsidR="00A25AE9" w:rsidRPr="007F200C">
          <w:rPr>
            <w:rFonts w:ascii="Helvetica" w:eastAsia="Times New Roman" w:hAnsi="Helvetica" w:cs="Helvetica"/>
            <w:color w:val="000000" w:themeColor="text1"/>
            <w:sz w:val="21"/>
            <w:szCs w:val="21"/>
            <w:u w:val="single"/>
            <w:lang w:eastAsia="it-IT"/>
          </w:rPr>
          <w:t>Accesso civico</w:t>
        </w:r>
      </w:hyperlink>
    </w:p>
    <w:p w:rsidR="00176621" w:rsidRPr="00176621" w:rsidRDefault="00176621" w:rsidP="00176621">
      <w:pPr>
        <w:shd w:val="clear" w:color="auto" w:fill="FFFFFF"/>
        <w:spacing w:after="150" w:line="240" w:lineRule="auto"/>
        <w:rPr>
          <w:rFonts w:ascii="Helvetica" w:eastAsia="Times New Roman" w:hAnsi="Helvetica" w:cs="Helvetica"/>
          <w:color w:val="333333"/>
          <w:sz w:val="21"/>
          <w:szCs w:val="21"/>
          <w:lang w:eastAsia="it-IT"/>
        </w:rPr>
      </w:pPr>
      <w:r w:rsidRPr="00176621">
        <w:rPr>
          <w:rFonts w:ascii="Helvetica" w:eastAsia="Times New Roman" w:hAnsi="Helvetica" w:cs="Helvetica"/>
          <w:color w:val="333333"/>
          <w:sz w:val="21"/>
          <w:szCs w:val="21"/>
          <w:lang w:eastAsia="it-IT"/>
        </w:rPr>
        <w:t>Con il decreto legislativo 14 marzo 2013, n. 33 si introduce l’istituto dell’accesso civico contemplato dall’articolo 5, ovvero del diritto a conoscere, utilizzare e riutilizzare (alle condizioni indicate dalla norma) i dati, i documenti e le informazioni "pubblici" in quanto oggetto "di pubblicazione obbligatoria".</w:t>
      </w:r>
    </w:p>
    <w:p w:rsidR="00176621" w:rsidRPr="00176621" w:rsidRDefault="00176621" w:rsidP="00176621">
      <w:pPr>
        <w:shd w:val="clear" w:color="auto" w:fill="FFFFFF"/>
        <w:spacing w:after="150" w:line="240" w:lineRule="auto"/>
        <w:rPr>
          <w:rFonts w:ascii="Helvetica" w:eastAsia="Times New Roman" w:hAnsi="Helvetica" w:cs="Helvetica"/>
          <w:color w:val="333333"/>
          <w:sz w:val="21"/>
          <w:szCs w:val="21"/>
          <w:lang w:eastAsia="it-IT"/>
        </w:rPr>
      </w:pPr>
      <w:r w:rsidRPr="00176621">
        <w:rPr>
          <w:rFonts w:ascii="Helvetica" w:eastAsia="Times New Roman" w:hAnsi="Helvetica" w:cs="Helvetica"/>
          <w:color w:val="333333"/>
          <w:sz w:val="21"/>
          <w:szCs w:val="21"/>
          <w:lang w:eastAsia="it-IT"/>
        </w:rPr>
        <w:br/>
        <w:t>Questo istituto è diverso ed ulteriore rispetto al diritto di accesso ad atti e documenti amministrativi disciplinato dalla legge n. 241 del 1990. Diversamente da quest'ultimo, infatti, non presuppone un interesse qualificato in capo al soggetto richiedente e consiste nel chiedere e ottenere gratuitamente che le amministrazioni forniscano e pubblichino gli atti, i documenti e le informazioni, da queste detenuti, per i quali è prevista la pubblicazione obbligatoria, ma che, per qualsiasi motivo, non siano stati pubblicati sui propri siti istituzionali.</w:t>
      </w:r>
    </w:p>
    <w:p w:rsidR="00176621" w:rsidRPr="00DF2E10" w:rsidRDefault="00176621" w:rsidP="00A8406A">
      <w:pPr>
        <w:spacing w:before="100" w:beforeAutospacing="1" w:after="100" w:afterAutospacing="1"/>
        <w:jc w:val="both"/>
        <w:rPr>
          <w:rFonts w:ascii="Verdana" w:hAnsi="Verdana"/>
          <w:sz w:val="18"/>
          <w:szCs w:val="18"/>
        </w:rPr>
      </w:pPr>
      <w:r>
        <w:rPr>
          <w:rFonts w:ascii="Verdana" w:hAnsi="Verdana"/>
          <w:b/>
          <w:bCs/>
          <w:sz w:val="18"/>
        </w:rPr>
        <w:t xml:space="preserve">D.LGS 33/2013: </w:t>
      </w:r>
      <w:r w:rsidRPr="00DF2E10">
        <w:rPr>
          <w:rFonts w:ascii="Verdana" w:hAnsi="Verdana"/>
          <w:b/>
          <w:bCs/>
          <w:sz w:val="18"/>
        </w:rPr>
        <w:t xml:space="preserve">Art. </w:t>
      </w:r>
      <w:proofErr w:type="gramStart"/>
      <w:r w:rsidRPr="00DF2E10">
        <w:rPr>
          <w:rFonts w:ascii="Verdana" w:hAnsi="Verdana"/>
          <w:b/>
          <w:bCs/>
          <w:sz w:val="18"/>
        </w:rPr>
        <w:t>23</w:t>
      </w:r>
      <w:r w:rsidRPr="00DF2E10">
        <w:rPr>
          <w:rFonts w:ascii="Verdana" w:hAnsi="Verdana"/>
          <w:sz w:val="18"/>
          <w:szCs w:val="18"/>
        </w:rPr>
        <w:t xml:space="preserve">  </w:t>
      </w:r>
      <w:r w:rsidRPr="00DF2E10">
        <w:rPr>
          <w:rFonts w:ascii="Verdana" w:hAnsi="Verdana"/>
          <w:i/>
          <w:iCs/>
          <w:sz w:val="18"/>
        </w:rPr>
        <w:t>Obblighi</w:t>
      </w:r>
      <w:proofErr w:type="gramEnd"/>
      <w:r w:rsidRPr="00DF2E10">
        <w:rPr>
          <w:rFonts w:ascii="Verdana" w:hAnsi="Verdana"/>
          <w:i/>
          <w:iCs/>
          <w:sz w:val="18"/>
        </w:rPr>
        <w:t xml:space="preserve"> di pubblicazione concernenti i provvedimenti amministrativi</w:t>
      </w:r>
      <w:r w:rsidRPr="00DF2E10">
        <w:rPr>
          <w:rFonts w:ascii="Verdana" w:hAnsi="Verdana"/>
          <w:b/>
          <w:bCs/>
          <w:vanish/>
          <w:sz w:val="18"/>
        </w:rPr>
        <w:t>In vigore dal 20 aprile 2013</w:t>
      </w:r>
      <w:r w:rsidRPr="00DF2E10">
        <w:rPr>
          <w:rFonts w:ascii="Verdana" w:hAnsi="Verdana"/>
          <w:sz w:val="18"/>
          <w:szCs w:val="18"/>
        </w:rPr>
        <w:t xml:space="preserve"> </w:t>
      </w:r>
    </w:p>
    <w:p w:rsidR="00176621" w:rsidRPr="00DF2E10" w:rsidRDefault="00176621" w:rsidP="00176621">
      <w:pPr>
        <w:spacing w:before="100" w:beforeAutospacing="1" w:after="100" w:afterAutospacing="1"/>
        <w:jc w:val="both"/>
        <w:rPr>
          <w:rFonts w:ascii="Verdana" w:hAnsi="Verdana"/>
          <w:sz w:val="18"/>
          <w:szCs w:val="18"/>
        </w:rPr>
      </w:pPr>
      <w:r w:rsidRPr="00DF2E10">
        <w:rPr>
          <w:rFonts w:ascii="Verdana" w:hAnsi="Verdana"/>
          <w:sz w:val="18"/>
        </w:rPr>
        <w:t>1.</w:t>
      </w:r>
      <w:r w:rsidRPr="00DF2E10">
        <w:rPr>
          <w:rFonts w:ascii="Verdana" w:hAnsi="Verdana"/>
          <w:sz w:val="18"/>
          <w:szCs w:val="18"/>
        </w:rPr>
        <w:t>  Le pubbliche amministrazioni pubblicano e aggiornano ogni sei mesi, in distinte partizioni della sezione «Amministrazione trasparente», gli elenchi dei provvedimenti adottati dagli organi di indirizzo politico e dai dirigenti, con particolare riferimento ai provvedimenti finali dei procedimenti di:</w:t>
      </w:r>
    </w:p>
    <w:p w:rsidR="00176621" w:rsidRPr="00DF2E10" w:rsidRDefault="00176621" w:rsidP="00176621">
      <w:pPr>
        <w:ind w:firstLine="400"/>
        <w:jc w:val="both"/>
        <w:rPr>
          <w:rFonts w:ascii="Verdana" w:hAnsi="Verdana"/>
          <w:sz w:val="18"/>
          <w:szCs w:val="18"/>
        </w:rPr>
      </w:pPr>
      <w:r w:rsidRPr="00DF2E10">
        <w:rPr>
          <w:rFonts w:ascii="Verdana" w:hAnsi="Verdana"/>
          <w:sz w:val="18"/>
          <w:szCs w:val="18"/>
        </w:rPr>
        <w:t xml:space="preserve">a)  autorizzazione o concessione; </w:t>
      </w:r>
    </w:p>
    <w:p w:rsidR="00176621" w:rsidRPr="00DF2E10" w:rsidRDefault="00176621" w:rsidP="00176621">
      <w:pPr>
        <w:ind w:firstLine="400"/>
        <w:jc w:val="both"/>
        <w:rPr>
          <w:rFonts w:ascii="Verdana" w:hAnsi="Verdana"/>
          <w:sz w:val="18"/>
          <w:szCs w:val="18"/>
        </w:rPr>
      </w:pPr>
      <w:r w:rsidRPr="00DF2E10">
        <w:rPr>
          <w:rFonts w:ascii="Verdana" w:hAnsi="Verdana"/>
          <w:sz w:val="18"/>
          <w:szCs w:val="18"/>
        </w:rPr>
        <w:t xml:space="preserve">b)  scelta del contraente per l'affidamento di lavori, forniture e servizi, anche con riferimento alla modalità di selezione prescelta ai sensi del codice dei contratti pubblici, relativi a lavori, servizi e forniture, di cui al </w:t>
      </w:r>
      <w:hyperlink r:id="rId8" w:history="1">
        <w:r w:rsidRPr="00DF2E10">
          <w:rPr>
            <w:rFonts w:ascii="Verdana" w:hAnsi="Verdana"/>
            <w:i/>
            <w:iCs/>
            <w:sz w:val="18"/>
          </w:rPr>
          <w:t>decreto legislativo 12 aprile 2006, n. 163</w:t>
        </w:r>
      </w:hyperlink>
      <w:r w:rsidRPr="00DF2E10">
        <w:rPr>
          <w:rFonts w:ascii="Verdana" w:hAnsi="Verdana"/>
          <w:sz w:val="18"/>
          <w:szCs w:val="18"/>
        </w:rPr>
        <w:t xml:space="preserve">; </w:t>
      </w:r>
    </w:p>
    <w:p w:rsidR="00176621" w:rsidRPr="00DF2E10" w:rsidRDefault="00176621" w:rsidP="00176621">
      <w:pPr>
        <w:ind w:firstLine="400"/>
        <w:jc w:val="both"/>
        <w:rPr>
          <w:rFonts w:ascii="Verdana" w:hAnsi="Verdana"/>
          <w:sz w:val="18"/>
          <w:szCs w:val="18"/>
        </w:rPr>
      </w:pPr>
      <w:r w:rsidRPr="00DF2E10">
        <w:rPr>
          <w:rFonts w:ascii="Verdana" w:hAnsi="Verdana"/>
          <w:sz w:val="18"/>
          <w:szCs w:val="18"/>
        </w:rPr>
        <w:t>c)  concorsi e prove selettive per l'assunzione del personale e progressioni di carriera di cui all'</w:t>
      </w:r>
      <w:hyperlink r:id="rId9" w:history="1">
        <w:r w:rsidRPr="00DF2E10">
          <w:rPr>
            <w:rFonts w:ascii="Verdana" w:hAnsi="Verdana"/>
            <w:i/>
            <w:iCs/>
            <w:sz w:val="18"/>
          </w:rPr>
          <w:t>articolo 24 del decreto legislativo n. 150 del 2009</w:t>
        </w:r>
      </w:hyperlink>
      <w:r w:rsidRPr="00DF2E10">
        <w:rPr>
          <w:rFonts w:ascii="Verdana" w:hAnsi="Verdana"/>
          <w:sz w:val="18"/>
          <w:szCs w:val="18"/>
        </w:rPr>
        <w:t xml:space="preserve">; </w:t>
      </w:r>
    </w:p>
    <w:p w:rsidR="00176621" w:rsidRPr="00DF2E10" w:rsidRDefault="00176621" w:rsidP="00176621">
      <w:pPr>
        <w:ind w:firstLine="400"/>
        <w:jc w:val="both"/>
        <w:rPr>
          <w:rFonts w:ascii="Verdana" w:hAnsi="Verdana"/>
          <w:sz w:val="18"/>
          <w:szCs w:val="18"/>
        </w:rPr>
      </w:pPr>
      <w:r w:rsidRPr="00DF2E10">
        <w:rPr>
          <w:rFonts w:ascii="Verdana" w:hAnsi="Verdana"/>
          <w:sz w:val="18"/>
          <w:szCs w:val="18"/>
        </w:rPr>
        <w:t>d)  accordi stipulati dall'amministrazione con soggetti privati o con altre amministrazioni pubbliche.</w:t>
      </w:r>
    </w:p>
    <w:p w:rsidR="00CC4779" w:rsidRDefault="00176621" w:rsidP="00176621">
      <w:pPr>
        <w:rPr>
          <w:rFonts w:ascii="Verdana" w:hAnsi="Verdana"/>
          <w:sz w:val="18"/>
          <w:szCs w:val="18"/>
        </w:rPr>
      </w:pPr>
      <w:r w:rsidRPr="00DF2E10">
        <w:rPr>
          <w:rFonts w:ascii="Verdana" w:hAnsi="Verdana"/>
          <w:sz w:val="18"/>
        </w:rPr>
        <w:t>2.</w:t>
      </w:r>
      <w:r w:rsidRPr="00DF2E10">
        <w:rPr>
          <w:rFonts w:ascii="Verdana" w:hAnsi="Verdana"/>
          <w:sz w:val="18"/>
          <w:szCs w:val="18"/>
        </w:rPr>
        <w:t>  Per ciascuno dei provvedimenti compresi negli elenchi di cui al comma 1 sono pubblicati il contenuto, l'oggetto, la eventuale spesa prevista e gli estremi relativi ai principali documenti contenuti nel fascicolo relativo al procedimento. La pubblicazione avviene nella forma di una scheda sintetica, prodotta automaticamente in sede di formazione del documento che contiene l'atto.</w:t>
      </w:r>
    </w:p>
    <w:p w:rsidR="00A8406A" w:rsidRPr="00E3575D" w:rsidRDefault="001F4F26" w:rsidP="00176621">
      <w:pPr>
        <w:rPr>
          <w:rFonts w:ascii="Verdana" w:hAnsi="Verdana"/>
          <w:sz w:val="18"/>
          <w:szCs w:val="18"/>
        </w:rPr>
      </w:pPr>
      <w:r>
        <w:rPr>
          <w:rFonts w:ascii="Verdana" w:hAnsi="Verdana"/>
          <w:bCs/>
          <w:sz w:val="18"/>
          <w:szCs w:val="18"/>
        </w:rPr>
        <w:t xml:space="preserve">- </w:t>
      </w:r>
      <w:r w:rsidR="00A8406A" w:rsidRPr="00E3575D">
        <w:rPr>
          <w:rFonts w:ascii="Verdana" w:hAnsi="Verdana"/>
          <w:bCs/>
          <w:sz w:val="18"/>
          <w:szCs w:val="18"/>
        </w:rPr>
        <w:t>L’Accesso civico semplice</w:t>
      </w:r>
      <w:r w:rsidR="00A8406A" w:rsidRPr="00E3575D">
        <w:rPr>
          <w:rFonts w:ascii="Verdana" w:hAnsi="Verdana"/>
          <w:sz w:val="18"/>
          <w:szCs w:val="18"/>
        </w:rPr>
        <w:t> consente a chiunque di richiedere documenti, dati o informazioni che le amministrazioni hanno l'obbligo di pubblicare nella sezione "Amministrazione trasparente" dei propri siti istituzionali, </w:t>
      </w:r>
      <w:r w:rsidR="00A8406A" w:rsidRPr="00E3575D">
        <w:rPr>
          <w:rFonts w:ascii="Verdana" w:hAnsi="Verdana"/>
          <w:bCs/>
          <w:sz w:val="18"/>
          <w:szCs w:val="18"/>
        </w:rPr>
        <w:t>nei casi in cui gli stessi non siano stati pubblicati </w:t>
      </w:r>
      <w:r w:rsidR="00A8406A" w:rsidRPr="00E3575D">
        <w:rPr>
          <w:rFonts w:ascii="Verdana" w:hAnsi="Verdana"/>
          <w:sz w:val="18"/>
          <w:szCs w:val="18"/>
        </w:rPr>
        <w:t>(art.5, c. 1).</w:t>
      </w:r>
    </w:p>
    <w:p w:rsidR="00A8406A" w:rsidRPr="00E3575D" w:rsidRDefault="001F4F26" w:rsidP="00176621">
      <w:pPr>
        <w:rPr>
          <w:rFonts w:ascii="Verdana" w:hAnsi="Verdana"/>
          <w:sz w:val="18"/>
          <w:szCs w:val="18"/>
        </w:rPr>
      </w:pPr>
      <w:r>
        <w:rPr>
          <w:rFonts w:ascii="Verdana" w:hAnsi="Verdana"/>
          <w:bCs/>
          <w:sz w:val="18"/>
          <w:szCs w:val="18"/>
        </w:rPr>
        <w:t xml:space="preserve">- </w:t>
      </w:r>
      <w:r w:rsidR="00A8406A" w:rsidRPr="00E3575D">
        <w:rPr>
          <w:rFonts w:ascii="Verdana" w:hAnsi="Verdana"/>
          <w:bCs/>
          <w:sz w:val="18"/>
          <w:szCs w:val="18"/>
        </w:rPr>
        <w:t>L' Accesso civico generalizzato </w:t>
      </w:r>
      <w:r w:rsidR="00A8406A" w:rsidRPr="00E3575D">
        <w:rPr>
          <w:rFonts w:ascii="Verdana" w:hAnsi="Verdana"/>
          <w:sz w:val="18"/>
          <w:szCs w:val="18"/>
        </w:rPr>
        <w:t>(o accesso FOIA) consente a chiunque di richiedere dati e documenti ulteriori rispetto a quelli che le amministrazioni sono obbligate a pubblicare (art. 5, c. 2).</w:t>
      </w:r>
    </w:p>
    <w:p w:rsidR="00A8406A" w:rsidRPr="00A8406A" w:rsidRDefault="00A8406A" w:rsidP="008D55EA">
      <w:pPr>
        <w:shd w:val="clear" w:color="auto" w:fill="FFFFFF"/>
        <w:spacing w:after="60" w:line="240" w:lineRule="auto"/>
        <w:rPr>
          <w:rFonts w:ascii="Helvetica" w:hAnsi="Helvetica" w:cs="Helvetica"/>
          <w:color w:val="333333"/>
          <w:spacing w:val="2"/>
          <w:sz w:val="27"/>
          <w:szCs w:val="27"/>
        </w:rPr>
      </w:pPr>
      <w:bookmarkStart w:id="0" w:name="_GoBack"/>
      <w:bookmarkEnd w:id="0"/>
    </w:p>
    <w:p w:rsidR="00A8406A" w:rsidRPr="00C01742" w:rsidRDefault="00A8406A" w:rsidP="008D55EA">
      <w:pPr>
        <w:shd w:val="clear" w:color="auto" w:fill="FFFFFF"/>
        <w:spacing w:after="60" w:line="240" w:lineRule="auto"/>
        <w:rPr>
          <w:rFonts w:ascii="Helvetica" w:hAnsi="Helvetica" w:cs="Helvetica"/>
          <w:color w:val="333333"/>
          <w:spacing w:val="2"/>
          <w:sz w:val="27"/>
          <w:szCs w:val="27"/>
        </w:rPr>
      </w:pPr>
    </w:p>
    <w:sectPr w:rsidR="00A8406A" w:rsidRPr="00C017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E31EB"/>
    <w:multiLevelType w:val="multilevel"/>
    <w:tmpl w:val="679C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D0798"/>
    <w:multiLevelType w:val="multilevel"/>
    <w:tmpl w:val="E662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46D26"/>
    <w:multiLevelType w:val="multilevel"/>
    <w:tmpl w:val="3FB6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70"/>
    <w:rsid w:val="00176621"/>
    <w:rsid w:val="001F4F26"/>
    <w:rsid w:val="00477470"/>
    <w:rsid w:val="007A1D26"/>
    <w:rsid w:val="007F200C"/>
    <w:rsid w:val="008D55EA"/>
    <w:rsid w:val="00A25AE9"/>
    <w:rsid w:val="00A8406A"/>
    <w:rsid w:val="00C01742"/>
    <w:rsid w:val="00CC4779"/>
    <w:rsid w:val="00E357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C19D2-B664-4838-B850-809738F3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840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qFormat/>
    <w:rsid w:val="00A25AE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A25AE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A25AE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25AE9"/>
    <w:rPr>
      <w:color w:val="0000FF"/>
      <w:u w:val="single"/>
    </w:rPr>
  </w:style>
  <w:style w:type="character" w:customStyle="1" w:styleId="Titolo1Carattere">
    <w:name w:val="Titolo 1 Carattere"/>
    <w:basedOn w:val="Carpredefinitoparagrafo"/>
    <w:link w:val="Titolo1"/>
    <w:uiPriority w:val="9"/>
    <w:rsid w:val="00A8406A"/>
    <w:rPr>
      <w:rFonts w:asciiTheme="majorHAnsi" w:eastAsiaTheme="majorEastAsia" w:hAnsiTheme="majorHAnsi" w:cstheme="majorBidi"/>
      <w:color w:val="2F5496" w:themeColor="accent1" w:themeShade="BF"/>
      <w:sz w:val="32"/>
      <w:szCs w:val="32"/>
    </w:rPr>
  </w:style>
  <w:style w:type="character" w:styleId="Enfasigrassetto">
    <w:name w:val="Strong"/>
    <w:basedOn w:val="Carpredefinitoparagrafo"/>
    <w:uiPriority w:val="22"/>
    <w:qFormat/>
    <w:rsid w:val="00A8406A"/>
    <w:rPr>
      <w:b/>
      <w:bCs/>
    </w:rPr>
  </w:style>
  <w:style w:type="paragraph" w:customStyle="1" w:styleId="rtecenter">
    <w:name w:val="rtecenter"/>
    <w:basedOn w:val="Normale"/>
    <w:rsid w:val="00A8406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1238">
      <w:bodyDiv w:val="1"/>
      <w:marLeft w:val="0"/>
      <w:marRight w:val="0"/>
      <w:marTop w:val="0"/>
      <w:marBottom w:val="0"/>
      <w:divBdr>
        <w:top w:val="none" w:sz="0" w:space="0" w:color="auto"/>
        <w:left w:val="none" w:sz="0" w:space="0" w:color="auto"/>
        <w:bottom w:val="none" w:sz="0" w:space="0" w:color="auto"/>
        <w:right w:val="none" w:sz="0" w:space="0" w:color="auto"/>
      </w:divBdr>
    </w:div>
    <w:div w:id="674189163">
      <w:bodyDiv w:val="1"/>
      <w:marLeft w:val="0"/>
      <w:marRight w:val="0"/>
      <w:marTop w:val="0"/>
      <w:marBottom w:val="0"/>
      <w:divBdr>
        <w:top w:val="none" w:sz="0" w:space="0" w:color="auto"/>
        <w:left w:val="none" w:sz="0" w:space="0" w:color="auto"/>
        <w:bottom w:val="none" w:sz="0" w:space="0" w:color="auto"/>
        <w:right w:val="none" w:sz="0" w:space="0" w:color="auto"/>
      </w:divBdr>
      <w:divsChild>
        <w:div w:id="492838924">
          <w:marLeft w:val="-225"/>
          <w:marRight w:val="-225"/>
          <w:marTop w:val="0"/>
          <w:marBottom w:val="0"/>
          <w:divBdr>
            <w:top w:val="none" w:sz="0" w:space="0" w:color="auto"/>
            <w:left w:val="none" w:sz="0" w:space="0" w:color="auto"/>
            <w:bottom w:val="none" w:sz="0" w:space="0" w:color="auto"/>
            <w:right w:val="none" w:sz="0" w:space="0" w:color="auto"/>
          </w:divBdr>
        </w:div>
        <w:div w:id="1873423631">
          <w:marLeft w:val="0"/>
          <w:marRight w:val="0"/>
          <w:marTop w:val="0"/>
          <w:marBottom w:val="0"/>
          <w:divBdr>
            <w:top w:val="none" w:sz="0" w:space="0" w:color="auto"/>
            <w:left w:val="none" w:sz="0" w:space="0" w:color="auto"/>
            <w:bottom w:val="none" w:sz="0" w:space="0" w:color="auto"/>
            <w:right w:val="none" w:sz="0" w:space="0" w:color="auto"/>
          </w:divBdr>
        </w:div>
        <w:div w:id="231700980">
          <w:marLeft w:val="0"/>
          <w:marRight w:val="0"/>
          <w:marTop w:val="0"/>
          <w:marBottom w:val="0"/>
          <w:divBdr>
            <w:top w:val="none" w:sz="0" w:space="0" w:color="auto"/>
            <w:left w:val="none" w:sz="0" w:space="0" w:color="auto"/>
            <w:bottom w:val="none" w:sz="0" w:space="0" w:color="auto"/>
            <w:right w:val="none" w:sz="0" w:space="0" w:color="auto"/>
          </w:divBdr>
          <w:divsChild>
            <w:div w:id="5086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79862">
      <w:bodyDiv w:val="1"/>
      <w:marLeft w:val="0"/>
      <w:marRight w:val="0"/>
      <w:marTop w:val="0"/>
      <w:marBottom w:val="0"/>
      <w:divBdr>
        <w:top w:val="none" w:sz="0" w:space="0" w:color="auto"/>
        <w:left w:val="none" w:sz="0" w:space="0" w:color="auto"/>
        <w:bottom w:val="none" w:sz="0" w:space="0" w:color="auto"/>
        <w:right w:val="none" w:sz="0" w:space="0" w:color="auto"/>
      </w:divBdr>
      <w:divsChild>
        <w:div w:id="1569464376">
          <w:marLeft w:val="0"/>
          <w:marRight w:val="0"/>
          <w:marTop w:val="0"/>
          <w:marBottom w:val="0"/>
          <w:divBdr>
            <w:top w:val="none" w:sz="0" w:space="0" w:color="auto"/>
            <w:left w:val="none" w:sz="0" w:space="0" w:color="auto"/>
            <w:bottom w:val="none" w:sz="0" w:space="0" w:color="auto"/>
            <w:right w:val="none" w:sz="0" w:space="0" w:color="auto"/>
          </w:divBdr>
        </w:div>
        <w:div w:id="1808667572">
          <w:marLeft w:val="0"/>
          <w:marRight w:val="0"/>
          <w:marTop w:val="0"/>
          <w:marBottom w:val="0"/>
          <w:divBdr>
            <w:top w:val="none" w:sz="0" w:space="0" w:color="auto"/>
            <w:left w:val="none" w:sz="0" w:space="0" w:color="auto"/>
            <w:bottom w:val="none" w:sz="0" w:space="0" w:color="auto"/>
            <w:right w:val="none" w:sz="0" w:space="0" w:color="auto"/>
          </w:divBdr>
          <w:divsChild>
            <w:div w:id="1620841696">
              <w:marLeft w:val="0"/>
              <w:marRight w:val="0"/>
              <w:marTop w:val="0"/>
              <w:marBottom w:val="0"/>
              <w:divBdr>
                <w:top w:val="none" w:sz="0" w:space="0" w:color="auto"/>
                <w:left w:val="none" w:sz="0" w:space="0" w:color="auto"/>
                <w:bottom w:val="none" w:sz="0" w:space="0" w:color="auto"/>
                <w:right w:val="none" w:sz="0" w:space="0" w:color="auto"/>
              </w:divBdr>
              <w:divsChild>
                <w:div w:id="18987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36132">
      <w:bodyDiv w:val="1"/>
      <w:marLeft w:val="0"/>
      <w:marRight w:val="0"/>
      <w:marTop w:val="0"/>
      <w:marBottom w:val="0"/>
      <w:divBdr>
        <w:top w:val="none" w:sz="0" w:space="0" w:color="auto"/>
        <w:left w:val="none" w:sz="0" w:space="0" w:color="auto"/>
        <w:bottom w:val="none" w:sz="0" w:space="0" w:color="auto"/>
        <w:right w:val="none" w:sz="0" w:space="0" w:color="auto"/>
      </w:divBdr>
      <w:divsChild>
        <w:div w:id="841816734">
          <w:marLeft w:val="0"/>
          <w:marRight w:val="0"/>
          <w:marTop w:val="0"/>
          <w:marBottom w:val="0"/>
          <w:divBdr>
            <w:top w:val="none" w:sz="0" w:space="0" w:color="auto"/>
            <w:left w:val="none" w:sz="0" w:space="0" w:color="auto"/>
            <w:bottom w:val="none" w:sz="0" w:space="0" w:color="auto"/>
            <w:right w:val="none" w:sz="0" w:space="0" w:color="auto"/>
          </w:divBdr>
        </w:div>
        <w:div w:id="1632200941">
          <w:marLeft w:val="0"/>
          <w:marRight w:val="0"/>
          <w:marTop w:val="0"/>
          <w:marBottom w:val="0"/>
          <w:divBdr>
            <w:top w:val="none" w:sz="0" w:space="0" w:color="auto"/>
            <w:left w:val="none" w:sz="0" w:space="0" w:color="auto"/>
            <w:bottom w:val="none" w:sz="0" w:space="0" w:color="auto"/>
            <w:right w:val="none" w:sz="0" w:space="0" w:color="auto"/>
          </w:divBdr>
          <w:divsChild>
            <w:div w:id="760415128">
              <w:marLeft w:val="0"/>
              <w:marRight w:val="0"/>
              <w:marTop w:val="0"/>
              <w:marBottom w:val="0"/>
              <w:divBdr>
                <w:top w:val="none" w:sz="0" w:space="0" w:color="auto"/>
                <w:left w:val="none" w:sz="0" w:space="0" w:color="auto"/>
                <w:bottom w:val="none" w:sz="0" w:space="0" w:color="auto"/>
                <w:right w:val="none" w:sz="0" w:space="0" w:color="auto"/>
              </w:divBdr>
              <w:divsChild>
                <w:div w:id="16628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1718">
      <w:bodyDiv w:val="1"/>
      <w:marLeft w:val="0"/>
      <w:marRight w:val="0"/>
      <w:marTop w:val="0"/>
      <w:marBottom w:val="0"/>
      <w:divBdr>
        <w:top w:val="none" w:sz="0" w:space="0" w:color="auto"/>
        <w:left w:val="none" w:sz="0" w:space="0" w:color="auto"/>
        <w:bottom w:val="none" w:sz="0" w:space="0" w:color="auto"/>
        <w:right w:val="none" w:sz="0" w:space="0" w:color="auto"/>
      </w:divBdr>
      <w:divsChild>
        <w:div w:id="382946009">
          <w:marLeft w:val="0"/>
          <w:marRight w:val="0"/>
          <w:marTop w:val="0"/>
          <w:marBottom w:val="0"/>
          <w:divBdr>
            <w:top w:val="none" w:sz="0" w:space="0" w:color="auto"/>
            <w:left w:val="none" w:sz="0" w:space="0" w:color="auto"/>
            <w:bottom w:val="none" w:sz="0" w:space="0" w:color="auto"/>
            <w:right w:val="none" w:sz="0" w:space="0" w:color="auto"/>
          </w:divBdr>
        </w:div>
        <w:div w:id="728921636">
          <w:marLeft w:val="0"/>
          <w:marRight w:val="0"/>
          <w:marTop w:val="0"/>
          <w:marBottom w:val="0"/>
          <w:divBdr>
            <w:top w:val="single" w:sz="6" w:space="0" w:color="0059B3"/>
            <w:left w:val="single" w:sz="6" w:space="0" w:color="0059B3"/>
            <w:bottom w:val="single" w:sz="6" w:space="0" w:color="0059B3"/>
            <w:right w:val="single" w:sz="6" w:space="0" w:color="0059B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401301ART0" TargetMode="External"/><Relationship Id="rId3" Type="http://schemas.openxmlformats.org/officeDocument/2006/relationships/settings" Target="settings.xml"/><Relationship Id="rId7" Type="http://schemas.openxmlformats.org/officeDocument/2006/relationships/hyperlink" Target="https://fagnano-olona.soluzionipa.it/openweb/trasparenza/pagina.php?id=5&amp;CSRF=8c97ab293941e803e9b3133868a3f5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gnano-olona.soluzionipa.it/openweb/trasparenza/categoria.php?id=23&amp;CSRF=8c97ab293941e803e9b3133868a3f545" TargetMode="External"/><Relationship Id="rId11" Type="http://schemas.openxmlformats.org/officeDocument/2006/relationships/theme" Target="theme/theme1.xml"/><Relationship Id="rId5" Type="http://schemas.openxmlformats.org/officeDocument/2006/relationships/hyperlink" Target="https://fagnano-olona.soluzionipa.it/openweb/trasparenz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651379ART6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507</Words>
  <Characters>2896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Bianchi</dc:creator>
  <cp:keywords/>
  <dc:description/>
  <cp:lastModifiedBy>Emanuela Bianchi</cp:lastModifiedBy>
  <cp:revision>6</cp:revision>
  <dcterms:created xsi:type="dcterms:W3CDTF">2023-11-13T14:22:00Z</dcterms:created>
  <dcterms:modified xsi:type="dcterms:W3CDTF">2024-02-29T11:50:00Z</dcterms:modified>
</cp:coreProperties>
</file>